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48571E" w:rsidRPr="0048571E" w:rsidTr="0048571E">
        <w:tc>
          <w:tcPr>
            <w:tcW w:w="5000" w:type="pct"/>
            <w:shd w:val="clear" w:color="auto" w:fill="FFFFFF"/>
            <w:vAlign w:val="center"/>
            <w:hideMark/>
          </w:tcPr>
          <w:p w:rsidR="0048571E" w:rsidRPr="0048571E" w:rsidRDefault="0048571E" w:rsidP="0048571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fldChar w:fldCharType="begin"/>
            </w:r>
            <w:r w:rsidRPr="0048571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instrText xml:space="preserve"> HYPERLINK "http://www.stip.gov.mk/index.php/mk/zapocni-biznis/2006-upatstvo-za-priklucuvanje-na-elektricnata-mreza-na-evn-makedonija" </w:instrText>
            </w:r>
            <w:r w:rsidRPr="0048571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fldChar w:fldCharType="separate"/>
            </w:r>
            <w:r w:rsidRPr="0048571E">
              <w:rPr>
                <w:rFonts w:ascii="Arial" w:eastAsia="Times New Roman" w:hAnsi="Arial" w:cs="Arial"/>
                <w:color w:val="BF0000"/>
                <w:sz w:val="25"/>
                <w:szCs w:val="25"/>
              </w:rPr>
              <w:t>УПАТСТВО ЗА ПРИКЛУЧУВАЊЕ НА ЕЛЕКТРИЧНАТА МРЕЖА НА EVN МАКЕДОНИЈА</w:t>
            </w:r>
            <w:r w:rsidRPr="0048571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fldChar w:fldCharType="end"/>
            </w:r>
          </w:p>
        </w:tc>
      </w:tr>
    </w:tbl>
    <w:p w:rsidR="0048571E" w:rsidRPr="0048571E" w:rsidRDefault="0048571E" w:rsidP="004857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6"/>
      </w:tblGrid>
      <w:tr w:rsidR="0048571E" w:rsidRPr="0048571E" w:rsidTr="0048571E">
        <w:tc>
          <w:tcPr>
            <w:tcW w:w="0" w:type="auto"/>
            <w:shd w:val="clear" w:color="auto" w:fill="FFFFFF"/>
            <w:hideMark/>
          </w:tcPr>
          <w:p w:rsidR="00BC099D" w:rsidRPr="00BC099D" w:rsidRDefault="0048571E" w:rsidP="00BC099D">
            <w:pPr>
              <w:spacing w:before="72" w:after="72" w:line="27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noProof/>
                <w:color w:val="BF0000"/>
                <w:sz w:val="18"/>
                <w:szCs w:val="18"/>
              </w:rPr>
              <w:drawing>
                <wp:inline distT="0" distB="0" distL="0" distR="0" wp14:anchorId="13EC4C38" wp14:editId="6B34B970">
                  <wp:extent cx="1428750" cy="628650"/>
                  <wp:effectExtent l="0" t="0" r="0" b="0"/>
                  <wp:docPr id="1" name="Picture 1" descr="EV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71E" w:rsidRPr="0048571E" w:rsidRDefault="0048571E" w:rsidP="00BC099D">
            <w:pPr>
              <w:numPr>
                <w:ilvl w:val="0"/>
                <w:numId w:val="1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физичките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</w:t>
            </w:r>
            <w:r w:rsidRPr="004857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врз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Решение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издадено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2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48571E" w:rsidRPr="0048571E" w:rsidRDefault="0048571E" w:rsidP="0048571E">
            <w:pPr>
              <w:numPr>
                <w:ilvl w:val="0"/>
                <w:numId w:val="3"/>
              </w:numPr>
              <w:spacing w:before="72" w:after="72" w:line="270" w:lineRule="atLeast"/>
              <w:ind w:left="3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изградба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48571E" w:rsidRPr="0048571E" w:rsidRDefault="0048571E" w:rsidP="0048571E">
            <w:pPr>
              <w:numPr>
                <w:ilvl w:val="0"/>
                <w:numId w:val="3"/>
              </w:numPr>
              <w:spacing w:before="72" w:after="72" w:line="270" w:lineRule="atLeast"/>
              <w:ind w:left="3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зголемување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одобрената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максимална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едновремена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моќност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48571E" w:rsidRPr="0048571E" w:rsidRDefault="0048571E" w:rsidP="0048571E">
            <w:pPr>
              <w:numPr>
                <w:ilvl w:val="0"/>
                <w:numId w:val="3"/>
              </w:numPr>
              <w:spacing w:before="72" w:after="72" w:line="270" w:lineRule="atLeast"/>
              <w:ind w:left="3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реконструкција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48571E" w:rsidRPr="0048571E" w:rsidRDefault="0048571E" w:rsidP="0048571E">
            <w:pPr>
              <w:numPr>
                <w:ilvl w:val="0"/>
                <w:numId w:val="3"/>
              </w:numPr>
              <w:spacing w:before="72" w:after="72" w:line="270" w:lineRule="atLeast"/>
              <w:ind w:left="3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техничките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карактеристики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уредите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корисниците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имаат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изразено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повратно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влијание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48571E" w:rsidRPr="0048571E" w:rsidRDefault="0048571E" w:rsidP="0048571E">
            <w:pPr>
              <w:numPr>
                <w:ilvl w:val="0"/>
                <w:numId w:val="3"/>
              </w:numPr>
              <w:spacing w:before="72" w:after="72" w:line="270" w:lineRule="atLeast"/>
              <w:ind w:left="3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обединување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повеќе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и</w:t>
            </w:r>
          </w:p>
          <w:p w:rsidR="0048571E" w:rsidRPr="0048571E" w:rsidRDefault="0048571E" w:rsidP="0048571E">
            <w:pPr>
              <w:numPr>
                <w:ilvl w:val="0"/>
                <w:numId w:val="3"/>
              </w:numPr>
              <w:spacing w:before="72" w:after="72" w:line="270" w:lineRule="atLeast"/>
              <w:ind w:left="3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поделба</w:t>
            </w:r>
            <w:proofErr w:type="spellEnd"/>
            <w:proofErr w:type="gram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мерното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поголем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4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поднесува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Корисничките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енергетски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образец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БСП – 1</w:t>
            </w:r>
            <w:proofErr w:type="gram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</w:t>
            </w:r>
            <w:proofErr w:type="spellEnd"/>
            <w:proofErr w:type="gram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надомест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Корисничките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енергетски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Македонијакаде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лоциран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5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нема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физичките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48571E" w:rsidRPr="0048571E" w:rsidRDefault="0048571E" w:rsidP="0048571E">
            <w:pPr>
              <w:numPr>
                <w:ilvl w:val="1"/>
                <w:numId w:val="5"/>
              </w:numPr>
              <w:spacing w:before="72" w:after="72" w:line="270" w:lineRule="atLeast"/>
              <w:ind w:left="9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немаат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прибавено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48571E" w:rsidRPr="0048571E" w:rsidRDefault="0048571E" w:rsidP="0048571E">
            <w:pPr>
              <w:numPr>
                <w:ilvl w:val="1"/>
                <w:numId w:val="5"/>
              </w:numPr>
              <w:spacing w:before="72" w:after="72" w:line="270" w:lineRule="atLeast"/>
              <w:ind w:left="9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самоволно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изградиле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спротивно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дистрибуција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Решението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дистрибутивната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</w:p>
          <w:p w:rsidR="0048571E" w:rsidRPr="0048571E" w:rsidRDefault="0048571E" w:rsidP="0048571E">
            <w:pPr>
              <w:numPr>
                <w:ilvl w:val="0"/>
                <w:numId w:val="6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Неовластено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приклучените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физички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ќе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бидат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исклучени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против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ќе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биде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поднесена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кривична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кражба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7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должнa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издаде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Решение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барателот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содржи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детална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пресметка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трошоци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изведба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трошоци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дистрибутивниот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:rsidR="0048571E" w:rsidRPr="0048571E" w:rsidRDefault="0048571E" w:rsidP="0048571E">
            <w:pPr>
              <w:numPr>
                <w:ilvl w:val="0"/>
                <w:numId w:val="8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Решение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изнесува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стандарден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60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нестандарден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дистрибуција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поднесувањето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9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ќе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одбие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доколку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48571E" w:rsidRPr="0048571E" w:rsidRDefault="0048571E" w:rsidP="0048571E">
            <w:pPr>
              <w:numPr>
                <w:ilvl w:val="0"/>
                <w:numId w:val="10"/>
              </w:numPr>
              <w:spacing w:before="72" w:after="72" w:line="270" w:lineRule="atLeast"/>
              <w:ind w:left="3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постојат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дистрибутивниот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според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:rsidR="0048571E" w:rsidRPr="0048571E" w:rsidRDefault="0048571E" w:rsidP="0048571E">
            <w:pPr>
              <w:numPr>
                <w:ilvl w:val="0"/>
                <w:numId w:val="10"/>
              </w:numPr>
              <w:spacing w:before="72" w:after="72" w:line="270" w:lineRule="atLeast"/>
              <w:ind w:left="3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приклучувањето</w:t>
            </w:r>
            <w:proofErr w:type="spellEnd"/>
            <w:proofErr w:type="gram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според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податоците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содржани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предизвика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загрозување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сигурноста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снабдувањето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останатите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потрошувачи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10"/>
              </w:numPr>
              <w:spacing w:before="72" w:after="72" w:line="270" w:lineRule="atLeast"/>
              <w:ind w:left="38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барателот</w:t>
            </w:r>
            <w:proofErr w:type="spellEnd"/>
            <w:proofErr w:type="gram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неплатени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обврски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11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Незадоволната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странка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изјави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жалба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против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Решението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одбивање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Регулаторната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енергетика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решението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12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зависност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местоположбата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оддалеченоста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максималната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едновремена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моќност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потрошувачот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стандарден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нестандарден</w:t>
            </w:r>
            <w:proofErr w:type="spellEnd"/>
            <w:proofErr w:type="gram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proofErr w:type="gram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spacing w:before="84" w:after="192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      А.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Стандарден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нисконапонски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максималната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едновремена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моќност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помала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еднаква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40 kW,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:rsidR="0048571E" w:rsidRPr="0048571E" w:rsidRDefault="0048571E" w:rsidP="0048571E">
            <w:pPr>
              <w:spacing w:before="84" w:after="192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        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наоѓа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подрачје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опфатено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детален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урбанистички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(ДУП),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</w:p>
          <w:p w:rsidR="0048571E" w:rsidRPr="0048571E" w:rsidRDefault="0048571E" w:rsidP="0048571E">
            <w:pPr>
              <w:spacing w:before="84" w:after="192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-         </w:t>
            </w:r>
            <w:proofErr w:type="spellStart"/>
            <w:proofErr w:type="gram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proofErr w:type="gram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наоѓа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подрачје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опфатено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ДУП,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оддалеченоста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дистрибутивниот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помала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еднаква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метри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spacing w:before="84" w:after="192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      Б.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Нeстандарден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секој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среднонапонски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како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нисконапонски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максималната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едновремена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моќност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е:</w:t>
            </w:r>
          </w:p>
          <w:p w:rsidR="0048571E" w:rsidRPr="0048571E" w:rsidRDefault="0048571E" w:rsidP="0048571E">
            <w:pPr>
              <w:spacing w:before="84" w:after="192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        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поголема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40 kW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мерењето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преку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трансформатори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</w:p>
          <w:p w:rsidR="0048571E" w:rsidRPr="0048571E" w:rsidRDefault="0048571E" w:rsidP="0048571E">
            <w:pPr>
              <w:spacing w:before="84" w:after="192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        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помала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еднаква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40 kW,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наоѓа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подрачје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опфатено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ДУП,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оддалеченоста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дистрибутивниот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поголема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метри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spacing w:before="84" w:after="192" w:line="2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критериумите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стандардни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нестандардни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приклучоци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дадени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табеларно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следната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табела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tbl>
            <w:tblPr>
              <w:tblW w:w="102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73"/>
              <w:gridCol w:w="1356"/>
              <w:gridCol w:w="1582"/>
              <w:gridCol w:w="1582"/>
              <w:gridCol w:w="2407"/>
            </w:tblGrid>
            <w:tr w:rsidR="0048571E" w:rsidRPr="0048571E"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напонско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ниво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приклучување</w:t>
                  </w:r>
                  <w:proofErr w:type="spellEnd"/>
                </w:p>
              </w:tc>
              <w:tc>
                <w:tcPr>
                  <w:tcW w:w="41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низок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напон</w:t>
                  </w:r>
                  <w:proofErr w:type="spellEnd"/>
                </w:p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0,4 kV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среден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напон</w:t>
                  </w:r>
                  <w:proofErr w:type="spellEnd"/>
                </w:p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 kV, 10 kV,     20 kV и 35 kV</w:t>
                  </w:r>
                </w:p>
              </w:tc>
            </w:tr>
            <w:tr w:rsidR="0048571E" w:rsidRPr="0048571E"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максимална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едновремена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моќност</w:t>
                  </w:r>
                  <w:proofErr w:type="spellEnd"/>
                </w:p>
              </w:tc>
              <w:tc>
                <w:tcPr>
                  <w:tcW w:w="27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≤ 40 kW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 40 kW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 0 kW</w:t>
                  </w:r>
                </w:p>
              </w:tc>
            </w:tr>
            <w:tr w:rsidR="0048571E" w:rsidRPr="0048571E"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Оддалеченост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објектот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местото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приклучувањето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≤ 30 m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 30 m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 0 m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 0 m</w:t>
                  </w:r>
                </w:p>
              </w:tc>
            </w:tr>
            <w:tr w:rsidR="0048571E" w:rsidRPr="0048571E"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Објектот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опфатен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ДУП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Стандарден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Стандарден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Нестандарден</w:t>
                  </w:r>
                  <w:proofErr w:type="spellEnd"/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Нестандарден</w:t>
                  </w:r>
                  <w:proofErr w:type="spellEnd"/>
                </w:p>
              </w:tc>
            </w:tr>
            <w:tr w:rsidR="0048571E" w:rsidRPr="0048571E">
              <w:tc>
                <w:tcPr>
                  <w:tcW w:w="3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Објектот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опфатен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</w:t>
                  </w:r>
                  <w:proofErr w:type="spellEnd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ДУП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Стандарден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Нестандарден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Нестандарден</w:t>
                  </w:r>
                  <w:proofErr w:type="spellEnd"/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571E" w:rsidRPr="0048571E" w:rsidRDefault="0048571E" w:rsidP="0048571E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57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Нестандарден</w:t>
                  </w:r>
                  <w:proofErr w:type="spellEnd"/>
                </w:p>
              </w:tc>
            </w:tr>
          </w:tbl>
          <w:p w:rsidR="0048571E" w:rsidRPr="0048571E" w:rsidRDefault="0048571E" w:rsidP="0048571E">
            <w:pPr>
              <w:spacing w:before="84" w:after="192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48571E" w:rsidRPr="0048571E" w:rsidRDefault="0048571E" w:rsidP="0048571E">
            <w:pPr>
              <w:numPr>
                <w:ilvl w:val="0"/>
                <w:numId w:val="13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должно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трошоците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енергетика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правила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дистрибуција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14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стандардни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приклучоци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барателите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плаќаат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упросечен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нисконапонски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стандарден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врз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ценовник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утврден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стандардните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приклучоци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решение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прилог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упросечените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трошоци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14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нестандардните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приклучоци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барателите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плаќаат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надоместок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деталната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пресметка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трошоците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содржани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прилог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решението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дистрибутивниот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15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издавањето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надоместувањето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трошоците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должен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изведе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потрошувачот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дистрибутивниот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систем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избере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претпријатие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овластени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градители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изградба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Овластените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градители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избира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јавен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тендер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согласно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јавни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набавки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16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сопствен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должна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вгради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уред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бараат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трошоците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вградување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одржување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неисправните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уреди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терет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уреди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вградува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компанијата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сопствен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трошок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сопственост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17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изведбата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врши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интерен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технички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прибавува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одобрение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употреба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18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издавањето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одобрение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употреба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ќе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стави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барало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барателот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образец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БСН – 1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надомест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Корисничките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енергетски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центри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превземе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нашата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веб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страна</w:t>
            </w:r>
            <w:proofErr w:type="spellEnd"/>
            <w:proofErr w:type="gram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www.evn.com.mk</w:t>
            </w:r>
            <w:proofErr w:type="gram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</w:t>
            </w:r>
          </w:p>
          <w:p w:rsidR="0048571E" w:rsidRPr="0048571E" w:rsidRDefault="0048571E" w:rsidP="0048571E">
            <w:pPr>
              <w:numPr>
                <w:ilvl w:val="0"/>
                <w:numId w:val="19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објектот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барателот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приклучок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изнесува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денот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поднесувањето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барањето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напон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48571E" w:rsidRPr="0048571E" w:rsidRDefault="0048571E" w:rsidP="0048571E">
            <w:pPr>
              <w:numPr>
                <w:ilvl w:val="0"/>
                <w:numId w:val="20"/>
              </w:numPr>
              <w:spacing w:before="72" w:after="72" w:line="270" w:lineRule="atLeast"/>
              <w:ind w:left="4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Лицето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барало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приклучување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електричната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мрежа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е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должно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склучи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Договор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снабдување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електрична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енергија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EVN </w:t>
            </w:r>
            <w:proofErr w:type="spellStart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Македонија</w:t>
            </w:r>
            <w:proofErr w:type="spellEnd"/>
            <w:r w:rsidRPr="004857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B8463E" w:rsidRDefault="00B8463E"/>
    <w:sectPr w:rsidR="00B8463E" w:rsidSect="00485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AA4"/>
    <w:multiLevelType w:val="multilevel"/>
    <w:tmpl w:val="45DEAD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440FA"/>
    <w:multiLevelType w:val="multilevel"/>
    <w:tmpl w:val="EF4015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52DC"/>
    <w:multiLevelType w:val="multilevel"/>
    <w:tmpl w:val="F042AD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46AAD"/>
    <w:multiLevelType w:val="multilevel"/>
    <w:tmpl w:val="7A3CB1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B1CE3"/>
    <w:multiLevelType w:val="multilevel"/>
    <w:tmpl w:val="F3CA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B0EFA"/>
    <w:multiLevelType w:val="multilevel"/>
    <w:tmpl w:val="94B8FC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25671"/>
    <w:multiLevelType w:val="multilevel"/>
    <w:tmpl w:val="07FA5C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C2798"/>
    <w:multiLevelType w:val="multilevel"/>
    <w:tmpl w:val="5E960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50751"/>
    <w:multiLevelType w:val="multilevel"/>
    <w:tmpl w:val="BAF6E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E589E"/>
    <w:multiLevelType w:val="multilevel"/>
    <w:tmpl w:val="BEF2F4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4053F"/>
    <w:multiLevelType w:val="multilevel"/>
    <w:tmpl w:val="FE6ACE9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A2C3F"/>
    <w:multiLevelType w:val="multilevel"/>
    <w:tmpl w:val="7590A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E0473"/>
    <w:multiLevelType w:val="multilevel"/>
    <w:tmpl w:val="A05ED1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F545E1"/>
    <w:multiLevelType w:val="multilevel"/>
    <w:tmpl w:val="F34072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13EFD"/>
    <w:multiLevelType w:val="multilevel"/>
    <w:tmpl w:val="5348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97FA0"/>
    <w:multiLevelType w:val="multilevel"/>
    <w:tmpl w:val="EA52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A57D2"/>
    <w:multiLevelType w:val="multilevel"/>
    <w:tmpl w:val="B754A3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D5CD8"/>
    <w:multiLevelType w:val="multilevel"/>
    <w:tmpl w:val="376C8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3949CC"/>
    <w:multiLevelType w:val="multilevel"/>
    <w:tmpl w:val="A26226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F6373"/>
    <w:multiLevelType w:val="multilevel"/>
    <w:tmpl w:val="E1D66A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18"/>
  </w:num>
  <w:num w:numId="13">
    <w:abstractNumId w:val="9"/>
  </w:num>
  <w:num w:numId="14">
    <w:abstractNumId w:val="0"/>
  </w:num>
  <w:num w:numId="15">
    <w:abstractNumId w:val="12"/>
  </w:num>
  <w:num w:numId="16">
    <w:abstractNumId w:val="19"/>
  </w:num>
  <w:num w:numId="17">
    <w:abstractNumId w:val="3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E"/>
    <w:rsid w:val="0048571E"/>
    <w:rsid w:val="00B8463E"/>
    <w:rsid w:val="00B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tip.gov.mk/images/stories/Informator/EVN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40B7-2CAA-4325-A86E-E3B09FC7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Bogdanci 2</cp:lastModifiedBy>
  <cp:revision>1</cp:revision>
  <dcterms:created xsi:type="dcterms:W3CDTF">2014-09-24T12:48:00Z</dcterms:created>
  <dcterms:modified xsi:type="dcterms:W3CDTF">2014-09-24T13:06:00Z</dcterms:modified>
</cp:coreProperties>
</file>