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D0" w:rsidRPr="00546207" w:rsidRDefault="002F1ED0" w:rsidP="002F1ED0">
      <w:pPr>
        <w:keepNext/>
        <w:numPr>
          <w:ilvl w:val="1"/>
          <w:numId w:val="0"/>
        </w:numPr>
        <w:tabs>
          <w:tab w:val="left" w:pos="1134"/>
        </w:tabs>
        <w:spacing w:before="600" w:after="400" w:line="300" w:lineRule="exact"/>
        <w:ind w:left="1134" w:hanging="1134"/>
        <w:outlineLvl w:val="1"/>
        <w:rPr>
          <w:rFonts w:ascii="Arial" w:hAnsi="Arial" w:cs="Arial"/>
          <w:b/>
          <w:bCs/>
          <w:iCs/>
          <w:sz w:val="36"/>
          <w:szCs w:val="28"/>
          <w:lang w:val="mk-MK" w:eastAsia="en-GB"/>
        </w:rPr>
      </w:pPr>
      <w:bookmarkStart w:id="0" w:name="_Toc382343899"/>
      <w:r w:rsidRPr="00546207">
        <w:rPr>
          <w:rFonts w:ascii="Arial" w:hAnsi="Arial" w:cs="Arial"/>
          <w:b/>
          <w:bCs/>
          <w:iCs/>
          <w:sz w:val="36"/>
          <w:szCs w:val="28"/>
          <w:lang w:val="mk-MK" w:eastAsia="en-GB"/>
        </w:rPr>
        <w:t>Демографски карактеристики</w:t>
      </w:r>
      <w:bookmarkEnd w:id="0"/>
      <w:r w:rsidR="002106CD" w:rsidRPr="00546207">
        <w:rPr>
          <w:rFonts w:ascii="Arial" w:hAnsi="Arial" w:cs="Arial"/>
          <w:b/>
          <w:bCs/>
          <w:iCs/>
          <w:sz w:val="36"/>
          <w:szCs w:val="28"/>
          <w:lang w:eastAsia="en-GB"/>
        </w:rPr>
        <w:t xml:space="preserve"> </w:t>
      </w:r>
      <w:r w:rsidR="002106CD" w:rsidRPr="00546207">
        <w:rPr>
          <w:rFonts w:ascii="Arial" w:hAnsi="Arial" w:cs="Arial"/>
          <w:b/>
          <w:bCs/>
          <w:iCs/>
          <w:sz w:val="36"/>
          <w:szCs w:val="28"/>
          <w:lang w:val="mk-MK" w:eastAsia="en-GB"/>
        </w:rPr>
        <w:t>на општина Богданци</w:t>
      </w:r>
    </w:p>
    <w:p w:rsidR="002F1ED0" w:rsidRPr="00546207" w:rsidRDefault="002F1ED0" w:rsidP="00600C4B">
      <w:pPr>
        <w:spacing w:after="120"/>
        <w:ind w:firstLine="720"/>
        <w:jc w:val="both"/>
        <w:rPr>
          <w:rFonts w:ascii="Arial" w:hAnsi="Arial" w:cs="Arial"/>
          <w:sz w:val="28"/>
          <w:szCs w:val="28"/>
          <w:lang w:val="mk-MK" w:eastAsia="en-GB"/>
        </w:rPr>
      </w:pPr>
      <w:r w:rsidRPr="00546207">
        <w:rPr>
          <w:rFonts w:ascii="Arial" w:hAnsi="Arial" w:cs="Arial"/>
          <w:sz w:val="28"/>
          <w:szCs w:val="28"/>
          <w:lang w:val="mk-MK" w:eastAsia="en-GB"/>
        </w:rPr>
        <w:t>Според последниот официјален попис на населението и домаќинствата во Република Македонија, на територијата на општина Богданци живееле 8.707 жители</w:t>
      </w:r>
      <w:r w:rsidRPr="00546207">
        <w:rPr>
          <w:rFonts w:ascii="Arial" w:hAnsi="Arial" w:cs="Arial"/>
          <w:sz w:val="28"/>
          <w:szCs w:val="28"/>
          <w:vertAlign w:val="superscript"/>
          <w:lang w:val="mk-MK" w:eastAsia="en-GB"/>
        </w:rPr>
        <w:footnoteReference w:id="1"/>
      </w:r>
      <w:r w:rsidRPr="00546207">
        <w:rPr>
          <w:rFonts w:ascii="Arial" w:hAnsi="Arial" w:cs="Arial"/>
          <w:sz w:val="28"/>
          <w:szCs w:val="28"/>
          <w:lang w:val="mk-MK" w:eastAsia="en-GB"/>
        </w:rPr>
        <w:t>, односно 76 ж/км</w:t>
      </w:r>
      <w:r w:rsidRPr="00546207">
        <w:rPr>
          <w:rFonts w:ascii="Arial" w:hAnsi="Arial" w:cs="Arial"/>
          <w:sz w:val="28"/>
          <w:szCs w:val="28"/>
          <w:vertAlign w:val="superscript"/>
          <w:lang w:val="mk-MK" w:eastAsia="en-GB"/>
        </w:rPr>
        <w:t>2</w:t>
      </w:r>
      <w:r w:rsidRPr="00546207">
        <w:rPr>
          <w:rFonts w:ascii="Arial" w:hAnsi="Arial" w:cs="Arial"/>
          <w:sz w:val="28"/>
          <w:szCs w:val="28"/>
          <w:lang w:val="mk-MK" w:eastAsia="en-GB"/>
        </w:rPr>
        <w:t>, што укажува на фактот дека општината има добра густина на населеност, која е малку помала од густината на населеност во Македонија, која во 2002 година изнесувала 78,6 ж/км</w:t>
      </w:r>
      <w:r w:rsidRPr="00546207">
        <w:rPr>
          <w:rFonts w:ascii="Arial" w:hAnsi="Arial" w:cs="Arial"/>
          <w:sz w:val="28"/>
          <w:szCs w:val="28"/>
          <w:vertAlign w:val="superscript"/>
          <w:lang w:val="mk-MK" w:eastAsia="en-GB"/>
        </w:rPr>
        <w:t>2</w:t>
      </w:r>
      <w:r w:rsidRPr="00546207">
        <w:rPr>
          <w:rFonts w:ascii="Arial" w:hAnsi="Arial" w:cs="Arial"/>
          <w:sz w:val="28"/>
          <w:szCs w:val="28"/>
          <w:lang w:val="mk-MK" w:eastAsia="en-GB"/>
        </w:rPr>
        <w:t>. Од друга страна, пак, вкупното население според процената на 30.6.2011 година, изнесува 8.443 жители</w:t>
      </w:r>
      <w:r w:rsidRPr="00546207">
        <w:rPr>
          <w:rFonts w:ascii="Arial" w:hAnsi="Arial" w:cs="Arial"/>
          <w:sz w:val="28"/>
          <w:szCs w:val="28"/>
          <w:vertAlign w:val="superscript"/>
          <w:lang w:val="mk-MK" w:eastAsia="en-GB"/>
        </w:rPr>
        <w:footnoteReference w:id="2"/>
      </w:r>
      <w:r w:rsidRPr="00546207">
        <w:rPr>
          <w:rFonts w:ascii="Arial" w:hAnsi="Arial" w:cs="Arial"/>
          <w:sz w:val="28"/>
          <w:szCs w:val="28"/>
          <w:lang w:val="mk-MK" w:eastAsia="en-GB"/>
        </w:rPr>
        <w:t>. Од овој број 4.243 (50,25%) се мажи, додека 4.200 (49,75%) се жени.</w:t>
      </w:r>
    </w:p>
    <w:p w:rsidR="002F1ED0" w:rsidRPr="00546207" w:rsidRDefault="002F1ED0" w:rsidP="00600C4B">
      <w:pPr>
        <w:spacing w:after="120"/>
        <w:ind w:firstLine="720"/>
        <w:jc w:val="both"/>
        <w:rPr>
          <w:rFonts w:ascii="Arial" w:hAnsi="Arial" w:cs="Arial"/>
          <w:sz w:val="28"/>
          <w:szCs w:val="28"/>
          <w:lang w:val="mk-MK" w:eastAsia="en-GB"/>
        </w:rPr>
      </w:pPr>
      <w:r w:rsidRPr="00546207">
        <w:rPr>
          <w:rFonts w:ascii="Arial" w:hAnsi="Arial" w:cs="Arial"/>
          <w:sz w:val="28"/>
          <w:szCs w:val="28"/>
          <w:lang w:val="mk-MK" w:eastAsia="en-GB"/>
        </w:rPr>
        <w:t>Најголемиот дел од населението во 2002 година живеело во општинскиот центар Богданци, 6.011 жители или 69%, додека во другите три селски населби живеело помал број на население: Стојаково 1.931 жител или 22%, Ѓавато 438 жители или 5% и Селемли 327 жители или 4%.</w:t>
      </w:r>
    </w:p>
    <w:p w:rsidR="002F1ED0" w:rsidRPr="00546207" w:rsidRDefault="002F1ED0" w:rsidP="00600C4B">
      <w:pPr>
        <w:spacing w:after="120"/>
        <w:ind w:firstLine="720"/>
        <w:jc w:val="both"/>
        <w:rPr>
          <w:rFonts w:ascii="Arial" w:hAnsi="Arial" w:cs="Arial"/>
          <w:sz w:val="28"/>
          <w:szCs w:val="28"/>
          <w:lang w:val="mk-MK" w:eastAsia="en-GB"/>
        </w:rPr>
      </w:pPr>
      <w:r w:rsidRPr="00546207">
        <w:rPr>
          <w:rFonts w:ascii="Arial" w:hAnsi="Arial" w:cs="Arial"/>
          <w:sz w:val="28"/>
          <w:szCs w:val="28"/>
          <w:lang w:val="mk-MK" w:eastAsia="en-GB"/>
        </w:rPr>
        <w:t xml:space="preserve">Според етничката структура на населението, во општина Богданци доминираат Македонците со 92,9% или 8.093 жители. Покрај нив, во општината живеат 525 Срби (6,0%), 54 Турци (0,6%) и 35 припадници на останати етнички групи. </w:t>
      </w:r>
    </w:p>
    <w:p w:rsidR="002F1ED0" w:rsidRPr="00546207" w:rsidRDefault="002F1ED0" w:rsidP="00600C4B">
      <w:pPr>
        <w:spacing w:after="120"/>
        <w:ind w:firstLine="567"/>
        <w:jc w:val="both"/>
        <w:rPr>
          <w:rFonts w:ascii="Arial" w:hAnsi="Arial" w:cs="Arial"/>
          <w:sz w:val="28"/>
          <w:szCs w:val="28"/>
          <w:lang w:eastAsia="en-GB"/>
        </w:rPr>
      </w:pPr>
      <w:r w:rsidRPr="00546207">
        <w:rPr>
          <w:rFonts w:ascii="Arial" w:hAnsi="Arial" w:cs="Arial"/>
          <w:sz w:val="28"/>
          <w:szCs w:val="28"/>
          <w:lang w:val="mk-MK" w:eastAsia="en-GB"/>
        </w:rPr>
        <w:t xml:space="preserve">Во поглед на старосната структура на населението, како што се гледа од табелата подолу, населението во општина Богданци старее многу побрзо отколку на ниво на Македонија. Имено, старосната група на младо население од 0-14 години, во општина Богданци учествува само со 13,38% што е за околу 8% помалку отколку учеството на оваа група во вкупното население во Македонија. Од друга страна, учеството на работоспособното население изнесува 72,15%, и е на исто ниво како и учеството на државно ниво, и конечно населението на 65 години (односно пензионери) учествува со 14,46% во вкупниот број на жители во општината и е за 4% поголемо од бројот на ниво на Македонија. </w:t>
      </w:r>
    </w:p>
    <w:p w:rsidR="002F1ED0" w:rsidRDefault="002F1ED0" w:rsidP="002F1ED0">
      <w:pPr>
        <w:spacing w:after="120"/>
        <w:jc w:val="both"/>
        <w:rPr>
          <w:rFonts w:ascii="Arial Narrow" w:hAnsi="Arial Narrow"/>
          <w:sz w:val="28"/>
          <w:szCs w:val="28"/>
          <w:lang w:eastAsia="en-GB"/>
        </w:rPr>
      </w:pPr>
    </w:p>
    <w:p w:rsidR="002F1ED0" w:rsidRDefault="002F1ED0" w:rsidP="002F1ED0">
      <w:pPr>
        <w:spacing w:after="120"/>
        <w:jc w:val="both"/>
        <w:rPr>
          <w:rFonts w:ascii="Arial Narrow" w:hAnsi="Arial Narrow"/>
          <w:sz w:val="28"/>
          <w:szCs w:val="28"/>
          <w:lang w:eastAsia="en-GB"/>
        </w:rPr>
      </w:pPr>
    </w:p>
    <w:p w:rsidR="002F1ED0" w:rsidRPr="002F1ED0" w:rsidRDefault="002F1ED0" w:rsidP="002F1ED0">
      <w:pPr>
        <w:spacing w:after="120"/>
        <w:jc w:val="both"/>
        <w:rPr>
          <w:rFonts w:ascii="Arial Narrow" w:hAnsi="Arial Narrow"/>
          <w:sz w:val="28"/>
          <w:szCs w:val="28"/>
          <w:lang w:eastAsia="en-GB"/>
        </w:rPr>
      </w:pPr>
    </w:p>
    <w:p w:rsidR="002F1ED0" w:rsidRPr="008B309C" w:rsidRDefault="002F1ED0" w:rsidP="002F1ED0">
      <w:pPr>
        <w:keepNext/>
        <w:tabs>
          <w:tab w:val="left" w:pos="1701"/>
        </w:tabs>
        <w:spacing w:before="120" w:after="120" w:line="240" w:lineRule="auto"/>
        <w:ind w:left="1701" w:right="567" w:hanging="1134"/>
        <w:rPr>
          <w:rFonts w:ascii="StobiSerifIt Regular" w:hAnsi="StobiSerifIt Regular"/>
          <w:i/>
          <w:lang w:val="mk-MK" w:eastAsia="en-GB"/>
        </w:rPr>
      </w:pPr>
      <w:r w:rsidRPr="008B309C">
        <w:rPr>
          <w:rFonts w:ascii="StobiSerifIt Regular" w:hAnsi="StobiSerifIt Regular"/>
          <w:i/>
          <w:lang w:val="mk-MK" w:eastAsia="en-GB"/>
        </w:rPr>
        <w:t>Старосна структура на населението во општина Богданци, според процената за 30.6. 2011 година</w:t>
      </w:r>
      <w:r w:rsidRPr="008B309C">
        <w:rPr>
          <w:rFonts w:ascii="StobiSerifIt Regular" w:hAnsi="StobiSerifIt Regular"/>
          <w:i/>
          <w:vertAlign w:val="superscript"/>
          <w:lang w:val="mk-MK" w:eastAsia="en-GB"/>
        </w:rPr>
        <w:footnoteReference w:id="3"/>
      </w:r>
    </w:p>
    <w:tbl>
      <w:tblPr>
        <w:tblW w:w="6804" w:type="dxa"/>
        <w:jc w:val="center"/>
        <w:tblLayout w:type="fixed"/>
        <w:tblCellMar>
          <w:top w:w="28" w:type="dxa"/>
          <w:left w:w="28" w:type="dxa"/>
          <w:bottom w:w="28" w:type="dxa"/>
          <w:right w:w="28" w:type="dxa"/>
        </w:tblCellMar>
        <w:tblLook w:val="04A0" w:firstRow="1" w:lastRow="0" w:firstColumn="1" w:lastColumn="0" w:noHBand="0" w:noVBand="1"/>
      </w:tblPr>
      <w:tblGrid>
        <w:gridCol w:w="851"/>
        <w:gridCol w:w="850"/>
        <w:gridCol w:w="686"/>
        <w:gridCol w:w="1015"/>
        <w:gridCol w:w="686"/>
        <w:gridCol w:w="1015"/>
        <w:gridCol w:w="686"/>
        <w:gridCol w:w="1015"/>
      </w:tblGrid>
      <w:tr w:rsidR="002F1ED0" w:rsidRPr="005110DA" w:rsidTr="008B309C">
        <w:trPr>
          <w:trHeight w:val="315"/>
          <w:jc w:val="center"/>
        </w:trPr>
        <w:tc>
          <w:tcPr>
            <w:tcW w:w="851" w:type="dxa"/>
            <w:tcBorders>
              <w:top w:val="single" w:sz="8" w:space="0" w:color="B3CC82"/>
              <w:left w:val="single" w:sz="8" w:space="0" w:color="B3CC82"/>
              <w:bottom w:val="single" w:sz="8" w:space="0" w:color="B3CC82"/>
              <w:right w:val="nil"/>
            </w:tcBorders>
            <w:shd w:val="clear" w:color="auto" w:fill="BFBFBF" w:themeFill="background1" w:themeFillShade="BF"/>
            <w:noWrap/>
            <w:hideMark/>
          </w:tcPr>
          <w:p w:rsidR="002F1ED0" w:rsidRPr="005110DA" w:rsidRDefault="002F1ED0" w:rsidP="00B90A51">
            <w:pPr>
              <w:spacing w:after="0" w:line="240" w:lineRule="auto"/>
              <w:rPr>
                <w:rFonts w:ascii="Calibri" w:eastAsia="Times New Roman" w:hAnsi="Calibri" w:cs="Times New Roman"/>
                <w:color w:val="000000"/>
              </w:rPr>
            </w:pPr>
            <w:r w:rsidRPr="005110DA">
              <w:rPr>
                <w:rFonts w:ascii="Calibri" w:eastAsia="Times New Roman" w:hAnsi="Calibri" w:cs="Times New Roman"/>
                <w:color w:val="000000"/>
              </w:rPr>
              <w:t> </w:t>
            </w:r>
          </w:p>
        </w:tc>
        <w:tc>
          <w:tcPr>
            <w:tcW w:w="850" w:type="dxa"/>
            <w:tcBorders>
              <w:top w:val="single" w:sz="8" w:space="0" w:color="B3CC82"/>
              <w:left w:val="nil"/>
              <w:bottom w:val="single" w:sz="8" w:space="0" w:color="B3CC82"/>
              <w:right w:val="nil"/>
            </w:tcBorders>
            <w:shd w:val="clear" w:color="auto" w:fill="BFBFBF" w:themeFill="background1" w:themeFillShade="BF"/>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вкупно</w:t>
            </w:r>
          </w:p>
        </w:tc>
        <w:tc>
          <w:tcPr>
            <w:tcW w:w="1701" w:type="dxa"/>
            <w:gridSpan w:val="2"/>
            <w:tcBorders>
              <w:top w:val="single" w:sz="8" w:space="0" w:color="B3CC82"/>
              <w:left w:val="nil"/>
              <w:bottom w:val="single" w:sz="8" w:space="0" w:color="B3CC82"/>
              <w:right w:val="nil"/>
            </w:tcBorders>
            <w:shd w:val="clear" w:color="auto" w:fill="BFBFBF" w:themeFill="background1" w:themeFillShade="BF"/>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0-14 години</w:t>
            </w:r>
          </w:p>
        </w:tc>
        <w:tc>
          <w:tcPr>
            <w:tcW w:w="1701" w:type="dxa"/>
            <w:gridSpan w:val="2"/>
            <w:tcBorders>
              <w:top w:val="single" w:sz="8" w:space="0" w:color="B3CC82"/>
              <w:left w:val="nil"/>
              <w:bottom w:val="single" w:sz="8" w:space="0" w:color="B3CC82"/>
              <w:right w:val="nil"/>
            </w:tcBorders>
            <w:shd w:val="clear" w:color="auto" w:fill="BFBFBF" w:themeFill="background1" w:themeFillShade="BF"/>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15-64 години</w:t>
            </w:r>
          </w:p>
        </w:tc>
        <w:tc>
          <w:tcPr>
            <w:tcW w:w="1701" w:type="dxa"/>
            <w:gridSpan w:val="2"/>
            <w:tcBorders>
              <w:top w:val="single" w:sz="8" w:space="0" w:color="B3CC82"/>
              <w:left w:val="nil"/>
              <w:bottom w:val="single" w:sz="8" w:space="0" w:color="B3CC82"/>
              <w:right w:val="single" w:sz="8" w:space="0" w:color="B3CC82"/>
            </w:tcBorders>
            <w:shd w:val="clear" w:color="auto" w:fill="BFBFBF" w:themeFill="background1" w:themeFillShade="BF"/>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Над 65 години</w:t>
            </w:r>
          </w:p>
        </w:tc>
      </w:tr>
      <w:tr w:rsidR="002F1ED0" w:rsidRPr="005110DA" w:rsidTr="008B309C">
        <w:trPr>
          <w:trHeight w:val="315"/>
          <w:jc w:val="center"/>
        </w:trPr>
        <w:tc>
          <w:tcPr>
            <w:tcW w:w="851" w:type="dxa"/>
            <w:tcBorders>
              <w:top w:val="nil"/>
              <w:left w:val="single" w:sz="8" w:space="0" w:color="B3CC82"/>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вкупно</w:t>
            </w:r>
          </w:p>
        </w:tc>
        <w:tc>
          <w:tcPr>
            <w:tcW w:w="850"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8.443</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1.130</w:t>
            </w:r>
          </w:p>
        </w:tc>
        <w:tc>
          <w:tcPr>
            <w:tcW w:w="1015"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13,38%</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6.092</w:t>
            </w:r>
          </w:p>
        </w:tc>
        <w:tc>
          <w:tcPr>
            <w:tcW w:w="1015"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72,15%</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1.221</w:t>
            </w:r>
          </w:p>
        </w:tc>
        <w:tc>
          <w:tcPr>
            <w:tcW w:w="1015" w:type="dxa"/>
            <w:tcBorders>
              <w:top w:val="nil"/>
              <w:left w:val="nil"/>
              <w:bottom w:val="single" w:sz="8" w:space="0" w:color="B3CC82"/>
              <w:right w:val="single" w:sz="8" w:space="0" w:color="B3CC82"/>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14,46%</w:t>
            </w:r>
          </w:p>
        </w:tc>
      </w:tr>
      <w:tr w:rsidR="002F1ED0" w:rsidRPr="005110DA" w:rsidTr="008B309C">
        <w:trPr>
          <w:trHeight w:val="315"/>
          <w:jc w:val="center"/>
        </w:trPr>
        <w:tc>
          <w:tcPr>
            <w:tcW w:w="851" w:type="dxa"/>
            <w:tcBorders>
              <w:top w:val="nil"/>
              <w:left w:val="single" w:sz="8" w:space="0" w:color="B3CC82"/>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мажи</w:t>
            </w:r>
          </w:p>
        </w:tc>
        <w:tc>
          <w:tcPr>
            <w:tcW w:w="850"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4.243</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580</w:t>
            </w:r>
          </w:p>
        </w:tc>
        <w:tc>
          <w:tcPr>
            <w:tcW w:w="1015"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13,67%</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3.134</w:t>
            </w:r>
          </w:p>
        </w:tc>
        <w:tc>
          <w:tcPr>
            <w:tcW w:w="1015"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73,86%</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529</w:t>
            </w:r>
          </w:p>
        </w:tc>
        <w:tc>
          <w:tcPr>
            <w:tcW w:w="1015" w:type="dxa"/>
            <w:tcBorders>
              <w:top w:val="nil"/>
              <w:left w:val="nil"/>
              <w:bottom w:val="single" w:sz="8" w:space="0" w:color="B3CC82"/>
              <w:right w:val="single" w:sz="8" w:space="0" w:color="B3CC82"/>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12,47%</w:t>
            </w:r>
          </w:p>
        </w:tc>
      </w:tr>
      <w:tr w:rsidR="002F1ED0" w:rsidRPr="005110DA" w:rsidTr="008B309C">
        <w:trPr>
          <w:trHeight w:val="315"/>
          <w:jc w:val="center"/>
        </w:trPr>
        <w:tc>
          <w:tcPr>
            <w:tcW w:w="851" w:type="dxa"/>
            <w:tcBorders>
              <w:top w:val="nil"/>
              <w:left w:val="single" w:sz="8" w:space="0" w:color="B3CC82"/>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b/>
                <w:bCs/>
                <w:color w:val="000000"/>
                <w:sz w:val="20"/>
                <w:szCs w:val="20"/>
              </w:rPr>
            </w:pPr>
            <w:r w:rsidRPr="005110DA">
              <w:rPr>
                <w:rFonts w:ascii="Arial Narrow" w:eastAsia="Times New Roman" w:hAnsi="Arial Narrow" w:cs="Times New Roman"/>
                <w:b/>
                <w:bCs/>
                <w:color w:val="000000"/>
                <w:sz w:val="20"/>
                <w:szCs w:val="20"/>
                <w:lang w:val="mk-MK"/>
              </w:rPr>
              <w:t>жени</w:t>
            </w:r>
          </w:p>
        </w:tc>
        <w:tc>
          <w:tcPr>
            <w:tcW w:w="850"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4.200</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550</w:t>
            </w:r>
          </w:p>
        </w:tc>
        <w:tc>
          <w:tcPr>
            <w:tcW w:w="1015"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13,10%</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2.958</w:t>
            </w:r>
          </w:p>
        </w:tc>
        <w:tc>
          <w:tcPr>
            <w:tcW w:w="1015"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70,43%</w:t>
            </w:r>
          </w:p>
        </w:tc>
        <w:tc>
          <w:tcPr>
            <w:tcW w:w="686" w:type="dxa"/>
            <w:tcBorders>
              <w:top w:val="nil"/>
              <w:left w:val="nil"/>
              <w:bottom w:val="single" w:sz="8" w:space="0" w:color="B3CC82"/>
              <w:right w:val="nil"/>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692</w:t>
            </w:r>
          </w:p>
        </w:tc>
        <w:tc>
          <w:tcPr>
            <w:tcW w:w="1015" w:type="dxa"/>
            <w:tcBorders>
              <w:top w:val="nil"/>
              <w:left w:val="nil"/>
              <w:bottom w:val="single" w:sz="8" w:space="0" w:color="B3CC82"/>
              <w:right w:val="single" w:sz="8" w:space="0" w:color="B3CC82"/>
            </w:tcBorders>
            <w:shd w:val="clear" w:color="auto" w:fill="FFFFFF" w:themeFill="background1"/>
            <w:noWrap/>
            <w:vAlign w:val="center"/>
            <w:hideMark/>
          </w:tcPr>
          <w:p w:rsidR="002F1ED0" w:rsidRPr="005110DA" w:rsidRDefault="002F1ED0" w:rsidP="00B90A51">
            <w:pPr>
              <w:spacing w:after="0" w:line="240" w:lineRule="auto"/>
              <w:jc w:val="center"/>
              <w:rPr>
                <w:rFonts w:ascii="Arial Narrow" w:eastAsia="Times New Roman" w:hAnsi="Arial Narrow" w:cs="Times New Roman"/>
                <w:color w:val="000000"/>
                <w:sz w:val="20"/>
                <w:szCs w:val="20"/>
              </w:rPr>
            </w:pPr>
            <w:r w:rsidRPr="005110DA">
              <w:rPr>
                <w:rFonts w:ascii="Arial Narrow" w:eastAsia="Times New Roman" w:hAnsi="Arial Narrow" w:cs="Times New Roman"/>
                <w:color w:val="000000"/>
                <w:sz w:val="20"/>
                <w:szCs w:val="20"/>
                <w:lang w:val="mk-MK"/>
              </w:rPr>
              <w:t>16,48%</w:t>
            </w:r>
          </w:p>
        </w:tc>
      </w:tr>
    </w:tbl>
    <w:p w:rsidR="002F1ED0" w:rsidRPr="005110DA" w:rsidRDefault="002F1ED0" w:rsidP="002F1ED0">
      <w:pPr>
        <w:spacing w:after="120" w:line="360" w:lineRule="auto"/>
        <w:rPr>
          <w:rFonts w:ascii="Times New Roman" w:hAnsi="Times New Roman"/>
          <w:sz w:val="24"/>
          <w:szCs w:val="24"/>
          <w:lang w:val="mk-MK" w:eastAsia="en-GB"/>
        </w:rPr>
      </w:pPr>
    </w:p>
    <w:p w:rsidR="002F1ED0" w:rsidRPr="008B309C" w:rsidRDefault="002F1ED0" w:rsidP="002F1ED0">
      <w:pPr>
        <w:keepNext/>
        <w:tabs>
          <w:tab w:val="left" w:pos="1701"/>
        </w:tabs>
        <w:spacing w:before="120" w:after="120" w:line="240" w:lineRule="auto"/>
        <w:ind w:left="1701" w:right="567" w:hanging="1133"/>
        <w:rPr>
          <w:rFonts w:ascii="StobiSerifIt Regular" w:hAnsi="StobiSerifIt Regular"/>
          <w:i/>
          <w:lang w:val="mk-MK" w:eastAsia="en-GB"/>
        </w:rPr>
      </w:pPr>
      <w:r w:rsidRPr="008B309C">
        <w:rPr>
          <w:rFonts w:ascii="StobiSerifIt Regular" w:hAnsi="StobiSerifIt Regular"/>
          <w:i/>
          <w:lang w:val="mk-MK" w:eastAsia="en-GB"/>
        </w:rPr>
        <w:t>Старосна пирамида на населението во Општина Богданци</w:t>
      </w:r>
    </w:p>
    <w:p w:rsidR="002F1ED0" w:rsidRPr="005110DA" w:rsidRDefault="002F1ED0" w:rsidP="002F1ED0">
      <w:pPr>
        <w:spacing w:before="120" w:after="120" w:line="360" w:lineRule="auto"/>
        <w:jc w:val="center"/>
        <w:rPr>
          <w:rFonts w:ascii="Arial Narrow" w:hAnsi="Arial Narrow"/>
          <w:noProof/>
          <w:sz w:val="28"/>
          <w:szCs w:val="28"/>
          <w:lang w:val="mk-MK" w:eastAsia="en-GB"/>
        </w:rPr>
      </w:pPr>
      <w:r w:rsidRPr="005110DA">
        <w:rPr>
          <w:rFonts w:ascii="Times New Roman" w:hAnsi="Times New Roman"/>
          <w:noProof/>
          <w:sz w:val="24"/>
          <w:szCs w:val="24"/>
        </w:rPr>
        <w:drawing>
          <wp:inline distT="0" distB="0" distL="0" distR="0" wp14:anchorId="26AF81AE" wp14:editId="360EAC01">
            <wp:extent cx="3561391" cy="3648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6032" cy="3663072"/>
                    </a:xfrm>
                    <a:prstGeom prst="rect">
                      <a:avLst/>
                    </a:prstGeom>
                    <a:noFill/>
                  </pic:spPr>
                </pic:pic>
              </a:graphicData>
            </a:graphic>
          </wp:inline>
        </w:drawing>
      </w:r>
    </w:p>
    <w:p w:rsidR="002F1ED0" w:rsidRPr="00546207" w:rsidRDefault="002F1ED0" w:rsidP="00600C4B">
      <w:pPr>
        <w:spacing w:after="120"/>
        <w:ind w:firstLine="720"/>
        <w:jc w:val="both"/>
        <w:rPr>
          <w:rFonts w:ascii="Arial" w:hAnsi="Arial" w:cs="Arial"/>
          <w:sz w:val="28"/>
          <w:szCs w:val="28"/>
          <w:lang w:val="mk-MK" w:eastAsia="en-GB"/>
        </w:rPr>
      </w:pPr>
      <w:r w:rsidRPr="00546207">
        <w:rPr>
          <w:rFonts w:ascii="Arial" w:hAnsi="Arial" w:cs="Arial"/>
          <w:sz w:val="28"/>
          <w:szCs w:val="28"/>
          <w:lang w:val="mk-MK" w:eastAsia="en-GB"/>
        </w:rPr>
        <w:t xml:space="preserve">Овие негативни демографски трендови се загрижувачки за идниот развој на општината, бидејќи во наредните 15-20 години бројот на работоспособното население ќе се намалува, младо население уште повеќе, а ќе расте бројот на старо население. Причините за сериозно големиот тренд на намалување на населението, се </w:t>
      </w:r>
      <w:r w:rsidRPr="00546207">
        <w:rPr>
          <w:rFonts w:ascii="Arial" w:hAnsi="Arial" w:cs="Arial"/>
          <w:sz w:val="28"/>
          <w:szCs w:val="28"/>
          <w:lang w:val="mk-MK" w:eastAsia="en-GB"/>
        </w:rPr>
        <w:lastRenderedPageBreak/>
        <w:t xml:space="preserve">повеќестрани, вклучувајќи ја секако и силно изразената економска миграција. Како резултат на тоа, природниот прираст односно поточно кажано намалување на населението, во 2011 година изнесува -5,8‰, што ја сместува општината во првите десет, на листата на општини со најголемо намалување на населението во Република Македонија. </w:t>
      </w:r>
    </w:p>
    <w:p w:rsidR="002F1ED0" w:rsidRPr="00546207" w:rsidRDefault="002F1ED0" w:rsidP="00600C4B">
      <w:pPr>
        <w:spacing w:after="120"/>
        <w:ind w:firstLine="720"/>
        <w:jc w:val="both"/>
        <w:rPr>
          <w:rFonts w:ascii="Arial" w:hAnsi="Arial" w:cs="Arial"/>
          <w:sz w:val="28"/>
          <w:szCs w:val="28"/>
          <w:lang w:val="mk-MK" w:eastAsia="en-GB"/>
        </w:rPr>
      </w:pPr>
      <w:r w:rsidRPr="00546207">
        <w:rPr>
          <w:rFonts w:ascii="Arial" w:hAnsi="Arial" w:cs="Arial"/>
          <w:sz w:val="28"/>
          <w:szCs w:val="28"/>
          <w:lang w:val="mk-MK" w:eastAsia="en-GB"/>
        </w:rPr>
        <w:t xml:space="preserve">Според Пописот од 2002 година, во општина Богданци се евидентирани 2.597 домаќинства, што значи дека просечната големина на едно домаќинство изнесува 3,4 жители, што е нешто помалку од просекот во Република Македонија, кој изнесува 3,6 жители/домаќинство. Од друга страна пак, бројот на станови (живеалишта) во општината изнесува 3.006, односно 1,15 станови на секое домаќинство, што е исто така нешто пониско од државниот просек, кој изнесува 1,2 стан/домаќинство. </w:t>
      </w:r>
    </w:p>
    <w:p w:rsidR="00353240" w:rsidRDefault="00353240">
      <w:bookmarkStart w:id="1" w:name="_GoBack"/>
      <w:bookmarkEnd w:id="1"/>
    </w:p>
    <w:sectPr w:rsidR="00353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8C" w:rsidRDefault="00E7238C" w:rsidP="002F1ED0">
      <w:pPr>
        <w:spacing w:after="0" w:line="240" w:lineRule="auto"/>
      </w:pPr>
      <w:r>
        <w:separator/>
      </w:r>
    </w:p>
  </w:endnote>
  <w:endnote w:type="continuationSeparator" w:id="0">
    <w:p w:rsidR="00E7238C" w:rsidRDefault="00E7238C" w:rsidP="002F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StobiSerifIt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8C" w:rsidRDefault="00E7238C" w:rsidP="002F1ED0">
      <w:pPr>
        <w:spacing w:after="0" w:line="240" w:lineRule="auto"/>
      </w:pPr>
      <w:r>
        <w:separator/>
      </w:r>
    </w:p>
  </w:footnote>
  <w:footnote w:type="continuationSeparator" w:id="0">
    <w:p w:rsidR="00E7238C" w:rsidRDefault="00E7238C" w:rsidP="002F1ED0">
      <w:pPr>
        <w:spacing w:after="0" w:line="240" w:lineRule="auto"/>
      </w:pPr>
      <w:r>
        <w:continuationSeparator/>
      </w:r>
    </w:p>
  </w:footnote>
  <w:footnote w:id="1">
    <w:p w:rsidR="002F1ED0" w:rsidRPr="00B346AD" w:rsidRDefault="002F1ED0" w:rsidP="002F1ED0">
      <w:pPr>
        <w:pStyle w:val="FootnoteText"/>
      </w:pPr>
      <w:r w:rsidRPr="00B346AD">
        <w:rPr>
          <w:rStyle w:val="FootnoteReference"/>
        </w:rPr>
        <w:footnoteRef/>
      </w:r>
      <w:r w:rsidRPr="00B346AD">
        <w:t xml:space="preserve"> </w:t>
      </w:r>
      <w:proofErr w:type="spellStart"/>
      <w:r w:rsidRPr="00B346AD">
        <w:t>Статистички</w:t>
      </w:r>
      <w:proofErr w:type="spellEnd"/>
      <w:r w:rsidRPr="00B346AD">
        <w:t xml:space="preserve"> </w:t>
      </w:r>
      <w:proofErr w:type="spellStart"/>
      <w:r w:rsidRPr="00B346AD">
        <w:t>годишник</w:t>
      </w:r>
      <w:proofErr w:type="spellEnd"/>
      <w:r w:rsidRPr="00B346AD">
        <w:t xml:space="preserve"> </w:t>
      </w:r>
      <w:proofErr w:type="spellStart"/>
      <w:r w:rsidRPr="00B346AD">
        <w:t>на</w:t>
      </w:r>
      <w:proofErr w:type="spellEnd"/>
      <w:r w:rsidRPr="00B346AD">
        <w:t xml:space="preserve"> </w:t>
      </w:r>
      <w:proofErr w:type="spellStart"/>
      <w:r w:rsidRPr="00B346AD">
        <w:t>Република</w:t>
      </w:r>
      <w:proofErr w:type="spellEnd"/>
      <w:r w:rsidRPr="00B346AD">
        <w:t xml:space="preserve"> </w:t>
      </w:r>
      <w:proofErr w:type="spellStart"/>
      <w:r w:rsidRPr="00B346AD">
        <w:t>Македонија</w:t>
      </w:r>
      <w:proofErr w:type="spellEnd"/>
      <w:r w:rsidRPr="00B346AD">
        <w:t xml:space="preserve">, 2012, </w:t>
      </w:r>
      <w:proofErr w:type="spellStart"/>
      <w:r w:rsidRPr="00B346AD">
        <w:t>Државен</w:t>
      </w:r>
      <w:proofErr w:type="spellEnd"/>
      <w:r w:rsidRPr="00B346AD">
        <w:t xml:space="preserve"> </w:t>
      </w:r>
      <w:proofErr w:type="spellStart"/>
      <w:r w:rsidRPr="00B346AD">
        <w:t>завод</w:t>
      </w:r>
      <w:proofErr w:type="spellEnd"/>
      <w:r w:rsidRPr="00B346AD">
        <w:t xml:space="preserve"> </w:t>
      </w:r>
      <w:proofErr w:type="spellStart"/>
      <w:r w:rsidRPr="00B346AD">
        <w:t>за</w:t>
      </w:r>
      <w:proofErr w:type="spellEnd"/>
      <w:r w:rsidRPr="00B346AD">
        <w:t xml:space="preserve"> </w:t>
      </w:r>
      <w:proofErr w:type="spellStart"/>
      <w:r w:rsidRPr="00B346AD">
        <w:t>статистика</w:t>
      </w:r>
      <w:proofErr w:type="spellEnd"/>
    </w:p>
  </w:footnote>
  <w:footnote w:id="2">
    <w:p w:rsidR="002F1ED0" w:rsidRPr="00B346AD" w:rsidRDefault="002F1ED0" w:rsidP="002F1ED0">
      <w:pPr>
        <w:pStyle w:val="FootnoteText"/>
      </w:pPr>
      <w:r w:rsidRPr="00B346AD">
        <w:rPr>
          <w:rStyle w:val="FootnoteReference"/>
        </w:rPr>
        <w:footnoteRef/>
      </w:r>
      <w:r w:rsidRPr="00B346AD">
        <w:t xml:space="preserve"> </w:t>
      </w:r>
      <w:proofErr w:type="spellStart"/>
      <w:r w:rsidRPr="00B346AD">
        <w:t>Извор</w:t>
      </w:r>
      <w:proofErr w:type="spellEnd"/>
      <w:r w:rsidRPr="00B346AD">
        <w:t xml:space="preserve">: </w:t>
      </w:r>
      <w:proofErr w:type="spellStart"/>
      <w:r w:rsidRPr="00B346AD">
        <w:t>Државен</w:t>
      </w:r>
      <w:proofErr w:type="spellEnd"/>
      <w:r w:rsidRPr="00B346AD">
        <w:t xml:space="preserve"> </w:t>
      </w:r>
      <w:proofErr w:type="spellStart"/>
      <w:r w:rsidRPr="00B346AD">
        <w:t>завод</w:t>
      </w:r>
      <w:proofErr w:type="spellEnd"/>
      <w:r w:rsidRPr="00B346AD">
        <w:t xml:space="preserve"> </w:t>
      </w:r>
      <w:proofErr w:type="spellStart"/>
      <w:r w:rsidRPr="00B346AD">
        <w:t>за</w:t>
      </w:r>
      <w:proofErr w:type="spellEnd"/>
      <w:r w:rsidRPr="00B346AD">
        <w:t xml:space="preserve"> </w:t>
      </w:r>
      <w:proofErr w:type="spellStart"/>
      <w:r w:rsidRPr="00B346AD">
        <w:t>статистика</w:t>
      </w:r>
      <w:proofErr w:type="spellEnd"/>
      <w:r w:rsidRPr="00B346AD">
        <w:t xml:space="preserve">, </w:t>
      </w:r>
      <w:hyperlink r:id="rId1" w:history="1">
        <w:r w:rsidRPr="00B346AD">
          <w:rPr>
            <w:rStyle w:val="Hyperlink"/>
          </w:rPr>
          <w:t>http://makstat.stat.gov.mk/pxweb2007bazi</w:t>
        </w:r>
      </w:hyperlink>
      <w:r w:rsidRPr="00B346AD">
        <w:t xml:space="preserve"> </w:t>
      </w:r>
    </w:p>
  </w:footnote>
  <w:footnote w:id="3">
    <w:p w:rsidR="002F1ED0" w:rsidRDefault="002F1ED0" w:rsidP="002F1ED0">
      <w:pPr>
        <w:pStyle w:val="FootnoteText"/>
      </w:pPr>
      <w:r w:rsidRPr="00B346AD">
        <w:rPr>
          <w:rStyle w:val="FootnoteReference"/>
        </w:rPr>
        <w:footnoteRef/>
      </w:r>
      <w:r w:rsidRPr="00B346AD">
        <w:t xml:space="preserve"> </w:t>
      </w:r>
      <w:proofErr w:type="spellStart"/>
      <w:r w:rsidRPr="00B346AD">
        <w:t>ибид</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70"/>
    <w:rsid w:val="001D5A8E"/>
    <w:rsid w:val="002106CD"/>
    <w:rsid w:val="002F1ED0"/>
    <w:rsid w:val="00353240"/>
    <w:rsid w:val="00386E70"/>
    <w:rsid w:val="003C3152"/>
    <w:rsid w:val="004954DC"/>
    <w:rsid w:val="00546207"/>
    <w:rsid w:val="00600C4B"/>
    <w:rsid w:val="008B309C"/>
    <w:rsid w:val="00E7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ED0"/>
    <w:rPr>
      <w:sz w:val="20"/>
      <w:szCs w:val="20"/>
    </w:rPr>
  </w:style>
  <w:style w:type="character" w:styleId="Hyperlink">
    <w:name w:val="Hyperlink"/>
    <w:uiPriority w:val="99"/>
    <w:unhideWhenUsed/>
    <w:rsid w:val="002F1ED0"/>
    <w:rPr>
      <w:color w:val="0000FF"/>
      <w:u w:val="single"/>
    </w:rPr>
  </w:style>
  <w:style w:type="character" w:styleId="FootnoteReference">
    <w:name w:val="footnote reference"/>
    <w:uiPriority w:val="99"/>
    <w:rsid w:val="002F1ED0"/>
    <w:rPr>
      <w:vertAlign w:val="superscript"/>
    </w:rPr>
  </w:style>
  <w:style w:type="paragraph" w:styleId="BalloonText">
    <w:name w:val="Balloon Text"/>
    <w:basedOn w:val="Normal"/>
    <w:link w:val="BalloonTextChar"/>
    <w:uiPriority w:val="99"/>
    <w:semiHidden/>
    <w:unhideWhenUsed/>
    <w:rsid w:val="002F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ED0"/>
    <w:rPr>
      <w:sz w:val="20"/>
      <w:szCs w:val="20"/>
    </w:rPr>
  </w:style>
  <w:style w:type="character" w:styleId="Hyperlink">
    <w:name w:val="Hyperlink"/>
    <w:uiPriority w:val="99"/>
    <w:unhideWhenUsed/>
    <w:rsid w:val="002F1ED0"/>
    <w:rPr>
      <w:color w:val="0000FF"/>
      <w:u w:val="single"/>
    </w:rPr>
  </w:style>
  <w:style w:type="character" w:styleId="FootnoteReference">
    <w:name w:val="footnote reference"/>
    <w:uiPriority w:val="99"/>
    <w:rsid w:val="002F1ED0"/>
    <w:rPr>
      <w:vertAlign w:val="superscript"/>
    </w:rPr>
  </w:style>
  <w:style w:type="paragraph" w:styleId="BalloonText">
    <w:name w:val="Balloon Text"/>
    <w:basedOn w:val="Normal"/>
    <w:link w:val="BalloonTextChar"/>
    <w:uiPriority w:val="99"/>
    <w:semiHidden/>
    <w:unhideWhenUsed/>
    <w:rsid w:val="002F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akstat.stat.gov.mk/pxweb2007ba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471</Words>
  <Characters>2691</Characters>
  <Application>Microsoft Office Word</Application>
  <DocSecurity>0</DocSecurity>
  <Lines>22</Lines>
  <Paragraphs>6</Paragraphs>
  <ScaleCrop>false</ScaleCrop>
  <Company>Grizli777</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Bogdanci 2</dc:creator>
  <cp:keywords/>
  <dc:description/>
  <cp:lastModifiedBy>Bogdanci 2</cp:lastModifiedBy>
  <cp:revision>32</cp:revision>
  <dcterms:created xsi:type="dcterms:W3CDTF">2014-07-10T07:22:00Z</dcterms:created>
  <dcterms:modified xsi:type="dcterms:W3CDTF">2014-07-11T10:40:00Z</dcterms:modified>
</cp:coreProperties>
</file>